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4EE0E">
      <w:pPr>
        <w:widowControl/>
        <w:spacing w:line="276" w:lineRule="auto"/>
        <w:ind w:firstLine="488" w:firstLineChars="200"/>
        <w:jc w:val="left"/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</w:pPr>
      <w:r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  <w:t>1.推荐奖种：中华医学科技奖</w:t>
      </w:r>
    </w:p>
    <w:p w14:paraId="1E8D54B2">
      <w:pPr>
        <w:widowControl/>
        <w:spacing w:line="276" w:lineRule="auto"/>
        <w:ind w:firstLine="488"/>
        <w:jc w:val="left"/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</w:pPr>
      <w:r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  <w:t>2.项目</w:t>
      </w:r>
      <w:r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  <w:t>名称：脑功能性疾病精准诊疗关键技术体系创建及转化应用</w:t>
      </w:r>
    </w:p>
    <w:p w14:paraId="2EF700B0">
      <w:pPr>
        <w:widowControl/>
        <w:spacing w:line="276" w:lineRule="auto"/>
        <w:ind w:firstLine="488" w:firstLineChars="200"/>
        <w:jc w:val="left"/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</w:pPr>
      <w:r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  <w:t>3.推荐单位：</w:t>
      </w:r>
      <w:r>
        <w:rPr>
          <w:rFonts w:hint="eastAsia" w:ascii="宋体" w:hAnsi="宋体" w:eastAsia="宋体" w:cs="Arial"/>
          <w:color w:val="0D0D0D"/>
          <w:spacing w:val="2"/>
          <w:kern w:val="0"/>
          <w:sz w:val="24"/>
          <w:szCs w:val="24"/>
          <w14:ligatures w14:val="none"/>
        </w:rPr>
        <w:t>首都医科大学</w:t>
      </w:r>
    </w:p>
    <w:p w14:paraId="5864C311">
      <w:pPr>
        <w:widowControl/>
        <w:spacing w:line="276" w:lineRule="auto"/>
        <w:ind w:firstLine="488" w:firstLineChars="200"/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  <w:t>4.</w:t>
      </w:r>
      <w: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  <w:t>项目简介：</w:t>
      </w:r>
    </w:p>
    <w:p w14:paraId="1F2E81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脑功能性疾病是指一类由脑网络功能失调引发的疾病，涵盖睡眠、情绪及认知等高级脑功能障碍领域，其相互共病率高。目前，我国睡眠障碍、焦虑、抑郁、认知障碍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的总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患病人群超3亿，是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严重危害人民健康的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公共卫生问题。项目组聚焦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上述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脑功能性疾病，实现了从机制解析、新药创制、高端装备研发到应用推广的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一系列原创性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突破：</w:t>
      </w:r>
    </w:p>
    <w:p w14:paraId="09F10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1. 解析神经环路病理机制，奠定精准诊疗理论基础</w:t>
      </w:r>
    </w:p>
    <w:p w14:paraId="4A54E0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项目组围绕脑功能性疾病核心症状，解码相关脑网络的动力学特征与电生理标志物，系统解析认知情感环路异常的发生发展规律，精准揭示睡眠障碍、焦虑、抑郁及认知障碍等疾病核心病理机制，确立具有干预价值的环路靶点，为后续药物治疗与物理重塑提供理论支撑与精准靶点。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研究方法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获国际睡眠医学顶刊Sleep Medicine Reviews认可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Giuseppe Lanza教授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评价其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为逆转失眠患者脑网络异常提供了关键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的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方法学与机制证据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</w:p>
    <w:p w14:paraId="7B3DF1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2. 创制国产1类创新药，实现神经环路受体精准干预</w:t>
      </w:r>
    </w:p>
    <w:p w14:paraId="21DB2C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在明确神经环路受体靶点基础上，针对传统药物非特异性干预易破坏生理状态的痛点，项目组研发了具有自主知识产权的国家1类创新药地达西尼。作为高选择性GABAa受体部分正向变构调节剂，该药突破了传统睡眠药物非特异性干预的副作用瓶颈，满足了高效与安全兼顾的临床核心需求。该药成功转化打破了国际药企长期技术垄断，惠及超百万患者，转化金额超2亿元。</w:t>
      </w:r>
    </w:p>
    <w:p w14:paraId="25CEAF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3. 自主研发</w:t>
      </w: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高性能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调控装备集群，实现高效精准神经环路重塑</w:t>
      </w:r>
    </w:p>
    <w:p w14:paraId="7ED96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对于药物难以纠正的脑网络功能失衡，项目组从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特异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受体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靶点干预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拓展至环路重塑，首创电磁同步刺激、光电同步刺激、多靶点锁时匹配及外周-中枢匹配技术，通过精准时空耦合实现对病理性神经环路的高效能重塑，被“十三五”规划教材《神经病学》第3版收录。攻克闭环自适应参数调控、高精度信号采集分析、高密度抗干扰电极设计等关键技术，研制出迷走神经刺激、脊髓电刺激、耳甲迷走神经刺激等高性能国产调控装备集群（获医疗器械注册证12项），较进口同类产品降价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约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50%，覆盖患者近3000例，节约医疗支出约2.89亿元。</w:t>
      </w:r>
    </w:p>
    <w:p w14:paraId="42775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4. 构建全国诊疗协作网络，推动诊疗模式规范化推广</w:t>
      </w:r>
    </w:p>
    <w:p w14:paraId="7E511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为将创新药物和高端装备转化为临床服务能力，项目组建立了面向不同脑功能性疾病的综合诊疗新方案，牵头制定多项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临床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指南与共识，出版国际首部《Therapeutics of Neural Stimulation for Neurological Disorders》专著，构建了完整的神经调控治疗理论框架，建立了心身医学整合诊疗中心协作体系。成果在全国规模化落地，显著提升了基层医疗同质化水平及整体救治效能。</w:t>
      </w:r>
    </w:p>
    <w:p w14:paraId="6F83F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项目组以第一/通讯作者在</w:t>
      </w:r>
      <w:r>
        <w:rPr>
          <w:rFonts w:hint="eastAsia" w:ascii="仿宋" w:hAnsi="仿宋" w:eastAsia="仿宋" w:cs="仿宋"/>
          <w:i/>
          <w:iCs/>
          <w:sz w:val="24"/>
          <w:szCs w:val="24"/>
          <w:highlight w:val="none"/>
        </w:rPr>
        <w:t>Brain、Psychotherapy and Psychosomatics、Brain Stimulation、Sleep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等期刊发表SCI论文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293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篇，总被引7537次，牵头指南共识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项，授权发明专利30项（含4项国际专利），转化金额逾5亿元。成功建立了脑功能性疾病精准诊疗关键技术体系，实现从疾病机制解析、创新药物开发、高端装备研制到规范化体系建立和推广应用的系统性突破，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在药物难治基础上提升临床改善率20-50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%，为健康中国建设、脑科学创新发展和医疗装备国产化提供重要科技支撑。</w:t>
      </w:r>
    </w:p>
    <w:p w14:paraId="45DD640D">
      <w:pPr>
        <w:widowControl/>
        <w:spacing w:line="276" w:lineRule="auto"/>
        <w:ind w:firstLine="488" w:firstLineChars="200"/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宋体" w:hAnsi="宋体" w:cs="Arial"/>
          <w:color w:val="000000"/>
          <w:spacing w:val="2"/>
          <w:kern w:val="0"/>
          <w:sz w:val="24"/>
          <w:szCs w:val="24"/>
          <w:lang w:val="en-US" w:eastAsia="zh-CN"/>
          <w14:ligatures w14:val="none"/>
        </w:rPr>
        <w:t>5</w:t>
      </w:r>
      <w:r>
        <w:rPr>
          <w:rFonts w:hint="eastAsia" w:ascii="宋体" w:hAnsi="宋体" w:eastAsia="宋体" w:cs="Arial"/>
          <w:color w:val="000000"/>
          <w:spacing w:val="2"/>
          <w:kern w:val="0"/>
          <w:sz w:val="24"/>
          <w:szCs w:val="24"/>
          <w14:ligatures w14:val="none"/>
        </w:rPr>
        <w:t>.</w:t>
      </w:r>
      <w: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  <w:t>代表性论文目录：</w:t>
      </w:r>
    </w:p>
    <w:tbl>
      <w:tblPr>
        <w:tblStyle w:val="5"/>
        <w:tblW w:w="11057" w:type="dxa"/>
        <w:tblInd w:w="-13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977"/>
        <w:gridCol w:w="993"/>
        <w:gridCol w:w="850"/>
        <w:gridCol w:w="709"/>
        <w:gridCol w:w="1276"/>
        <w:gridCol w:w="992"/>
        <w:gridCol w:w="850"/>
        <w:gridCol w:w="851"/>
        <w:gridCol w:w="850"/>
      </w:tblGrid>
      <w:tr w14:paraId="7BAAC739">
        <w:tc>
          <w:tcPr>
            <w:tcW w:w="709" w:type="dxa"/>
            <w:vAlign w:val="center"/>
          </w:tcPr>
          <w:p w14:paraId="21672087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序号</w:t>
            </w:r>
          </w:p>
        </w:tc>
        <w:tc>
          <w:tcPr>
            <w:tcW w:w="2977" w:type="dxa"/>
            <w:vAlign w:val="center"/>
          </w:tcPr>
          <w:p w14:paraId="0C57987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论文名称</w:t>
            </w:r>
          </w:p>
        </w:tc>
        <w:tc>
          <w:tcPr>
            <w:tcW w:w="993" w:type="dxa"/>
            <w:vAlign w:val="center"/>
          </w:tcPr>
          <w:p w14:paraId="1781A4C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刊名</w:t>
            </w:r>
          </w:p>
        </w:tc>
        <w:tc>
          <w:tcPr>
            <w:tcW w:w="850" w:type="dxa"/>
            <w:vAlign w:val="center"/>
          </w:tcPr>
          <w:p w14:paraId="639BA7C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/>
                <w:szCs w:val="21"/>
              </w:rPr>
              <w:t>年,卷(期)</w:t>
            </w:r>
            <w:r>
              <w:rPr>
                <w:rFonts w:hint="eastAsia" w:ascii="Calibri" w:hAnsi="Calibri" w:eastAsia="FangSong"/>
                <w:szCs w:val="21"/>
              </w:rPr>
              <w:t>及页码</w:t>
            </w:r>
          </w:p>
        </w:tc>
        <w:tc>
          <w:tcPr>
            <w:tcW w:w="709" w:type="dxa"/>
            <w:vAlign w:val="center"/>
          </w:tcPr>
          <w:p w14:paraId="657F972A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影响</w:t>
            </w:r>
          </w:p>
          <w:p w14:paraId="6AD7105B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因子</w:t>
            </w:r>
          </w:p>
        </w:tc>
        <w:tc>
          <w:tcPr>
            <w:tcW w:w="1276" w:type="dxa"/>
            <w:vAlign w:val="center"/>
          </w:tcPr>
          <w:p w14:paraId="579B54B0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全部作者（国内作者须填写中文姓名）</w:t>
            </w:r>
          </w:p>
        </w:tc>
        <w:tc>
          <w:tcPr>
            <w:tcW w:w="992" w:type="dxa"/>
            <w:vAlign w:val="center"/>
          </w:tcPr>
          <w:p w14:paraId="7D0CD7D9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通讯作者（含共同;国内作者须填写中文姓名）</w:t>
            </w:r>
          </w:p>
        </w:tc>
        <w:tc>
          <w:tcPr>
            <w:tcW w:w="850" w:type="dxa"/>
            <w:vAlign w:val="center"/>
          </w:tcPr>
          <w:p w14:paraId="70C19FF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检索数据库</w:t>
            </w:r>
          </w:p>
        </w:tc>
        <w:tc>
          <w:tcPr>
            <w:tcW w:w="851" w:type="dxa"/>
            <w:vAlign w:val="center"/>
          </w:tcPr>
          <w:p w14:paraId="4F226B3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他引总次数</w:t>
            </w:r>
          </w:p>
        </w:tc>
        <w:tc>
          <w:tcPr>
            <w:tcW w:w="850" w:type="dxa"/>
            <w:vAlign w:val="center"/>
          </w:tcPr>
          <w:p w14:paraId="76782ED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szCs w:val="21"/>
              </w:rPr>
              <w:t>通讯作者单位是否含国外单位</w:t>
            </w:r>
          </w:p>
        </w:tc>
      </w:tr>
      <w:tr w14:paraId="3044DD1E">
        <w:tc>
          <w:tcPr>
            <w:tcW w:w="709" w:type="dxa"/>
            <w:vAlign w:val="center"/>
          </w:tcPr>
          <w:p w14:paraId="61A9C81F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1-1</w:t>
            </w:r>
          </w:p>
        </w:tc>
        <w:tc>
          <w:tcPr>
            <w:tcW w:w="2977" w:type="dxa"/>
          </w:tcPr>
          <w:p w14:paraId="496F3530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Efficacy and safety of simultaneous rTMS-tDCS over bilateral angular gyrus on neuropsychiatric symptoms in patients with moderate Alzheimer's disease: A prospective, randomized, sham-controlled pilot study</w:t>
            </w:r>
          </w:p>
        </w:tc>
        <w:tc>
          <w:tcPr>
            <w:tcW w:w="993" w:type="dxa"/>
          </w:tcPr>
          <w:p w14:paraId="4A5849C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BRAIN STIMULATION</w:t>
            </w:r>
          </w:p>
        </w:tc>
        <w:tc>
          <w:tcPr>
            <w:tcW w:w="850" w:type="dxa"/>
          </w:tcPr>
          <w:p w14:paraId="381435B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2022,15(6):1530-1537</w:t>
            </w:r>
          </w:p>
        </w:tc>
        <w:tc>
          <w:tcPr>
            <w:tcW w:w="709" w:type="dxa"/>
          </w:tcPr>
          <w:p w14:paraId="7A5E353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8.4</w:t>
            </w:r>
          </w:p>
        </w:tc>
        <w:tc>
          <w:tcPr>
            <w:tcW w:w="1276" w:type="dxa"/>
          </w:tcPr>
          <w:p w14:paraId="0B2CDA4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胡月青;贾宇;孙莹;丁岩;黄朝阳;刘春燕;王玉平</w:t>
            </w:r>
          </w:p>
        </w:tc>
        <w:tc>
          <w:tcPr>
            <w:tcW w:w="992" w:type="dxa"/>
          </w:tcPr>
          <w:p w14:paraId="52BF628F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王玉平;刘春燕</w:t>
            </w:r>
          </w:p>
        </w:tc>
        <w:tc>
          <w:tcPr>
            <w:tcW w:w="850" w:type="dxa"/>
          </w:tcPr>
          <w:p w14:paraId="1334F6B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71E8CFF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54</w:t>
            </w:r>
          </w:p>
        </w:tc>
        <w:tc>
          <w:tcPr>
            <w:tcW w:w="850" w:type="dxa"/>
          </w:tcPr>
          <w:p w14:paraId="0B7F5DF9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56089B94">
        <w:tc>
          <w:tcPr>
            <w:tcW w:w="709" w:type="dxa"/>
            <w:vAlign w:val="center"/>
          </w:tcPr>
          <w:p w14:paraId="5CE3A28F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1-2</w:t>
            </w:r>
          </w:p>
        </w:tc>
        <w:tc>
          <w:tcPr>
            <w:tcW w:w="2977" w:type="dxa"/>
          </w:tcPr>
          <w:p w14:paraId="23E03FE9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Efficacy of repetitive dual-site paired associative Transcranial magnetic stimulation in the treatment of generalized anxiety disorder</w:t>
            </w:r>
          </w:p>
        </w:tc>
        <w:tc>
          <w:tcPr>
            <w:tcW w:w="993" w:type="dxa"/>
          </w:tcPr>
          <w:p w14:paraId="6D00A010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BRAIN STIMULATION</w:t>
            </w:r>
          </w:p>
        </w:tc>
        <w:tc>
          <w:tcPr>
            <w:tcW w:w="850" w:type="dxa"/>
          </w:tcPr>
          <w:p w14:paraId="4C097E8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2020,13(5):1170-1172</w:t>
            </w:r>
          </w:p>
        </w:tc>
        <w:tc>
          <w:tcPr>
            <w:tcW w:w="709" w:type="dxa"/>
          </w:tcPr>
          <w:p w14:paraId="2347A62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8.4</w:t>
            </w:r>
          </w:p>
        </w:tc>
        <w:tc>
          <w:tcPr>
            <w:tcW w:w="1276" w:type="dxa"/>
          </w:tcPr>
          <w:p w14:paraId="0EBD3CD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林一聪;陈培琼;杨昆;周琪琳;詹淑琴;林华;李莉萍;王黎;王玉平</w:t>
            </w:r>
          </w:p>
        </w:tc>
        <w:tc>
          <w:tcPr>
            <w:tcW w:w="992" w:type="dxa"/>
          </w:tcPr>
          <w:p w14:paraId="0CD30F4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</w:t>
            </w:r>
          </w:p>
        </w:tc>
        <w:tc>
          <w:tcPr>
            <w:tcW w:w="850" w:type="dxa"/>
          </w:tcPr>
          <w:p w14:paraId="17FE834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19FEAB6F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6</w:t>
            </w:r>
          </w:p>
        </w:tc>
        <w:tc>
          <w:tcPr>
            <w:tcW w:w="850" w:type="dxa"/>
          </w:tcPr>
          <w:p w14:paraId="5A03921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719B5702">
        <w:tc>
          <w:tcPr>
            <w:tcW w:w="709" w:type="dxa"/>
            <w:vAlign w:val="center"/>
          </w:tcPr>
          <w:p w14:paraId="2345561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1-3</w:t>
            </w:r>
          </w:p>
        </w:tc>
        <w:tc>
          <w:tcPr>
            <w:tcW w:w="2977" w:type="dxa"/>
          </w:tcPr>
          <w:p w14:paraId="36042AE3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Corticospinal excitability enhancement with simultaneous transcranial near-infrared stimulation and anodal direct current stimulation of motor cortex</w:t>
            </w:r>
          </w:p>
        </w:tc>
        <w:tc>
          <w:tcPr>
            <w:tcW w:w="993" w:type="dxa"/>
          </w:tcPr>
          <w:p w14:paraId="58EE165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CLINICAL NEUROPHYSIOLOGY</w:t>
            </w:r>
          </w:p>
        </w:tc>
        <w:tc>
          <w:tcPr>
            <w:tcW w:w="850" w:type="dxa"/>
          </w:tcPr>
          <w:p w14:paraId="40DBD335">
            <w:pPr>
              <w:spacing w:line="360" w:lineRule="exact"/>
              <w:jc w:val="left"/>
              <w:rPr>
                <w:rFonts w:ascii="Calibri" w:hAnsi="Calibri" w:eastAsia="FangSong" w:cs="宋体"/>
                <w:snapToGrid w:val="0"/>
                <w:w w:val="105"/>
                <w:szCs w:val="21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2021,132(5):1018-1024</w:t>
            </w:r>
          </w:p>
          <w:p w14:paraId="4C427CA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709" w:type="dxa"/>
          </w:tcPr>
          <w:p w14:paraId="2DB5222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3.6</w:t>
            </w:r>
          </w:p>
        </w:tc>
        <w:tc>
          <w:tcPr>
            <w:tcW w:w="1276" w:type="dxa"/>
          </w:tcPr>
          <w:p w14:paraId="18EC2C4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宋鹏辉;李思燃;郝文思;魏敏;刘江红;林华;胡士敏;代晓娜;王静;王蓉;王玉平</w:t>
            </w:r>
          </w:p>
        </w:tc>
        <w:tc>
          <w:tcPr>
            <w:tcW w:w="992" w:type="dxa"/>
          </w:tcPr>
          <w:p w14:paraId="376C62A9">
            <w:pPr>
              <w:spacing w:line="360" w:lineRule="exact"/>
              <w:jc w:val="left"/>
              <w:rPr>
                <w:rFonts w:ascii="Calibri" w:hAnsi="Calibri" w:eastAsia="FangSong" w:cs="宋体"/>
                <w:snapToGrid w:val="0"/>
                <w:w w:val="105"/>
                <w:szCs w:val="21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王玉平;王蓉;王静</w:t>
            </w:r>
          </w:p>
          <w:p w14:paraId="5411BB5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850" w:type="dxa"/>
          </w:tcPr>
          <w:p w14:paraId="474C0F0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4BE9825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7</w:t>
            </w:r>
          </w:p>
        </w:tc>
        <w:tc>
          <w:tcPr>
            <w:tcW w:w="850" w:type="dxa"/>
          </w:tcPr>
          <w:p w14:paraId="583B2F8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08F67BD1">
        <w:tc>
          <w:tcPr>
            <w:tcW w:w="709" w:type="dxa"/>
            <w:vAlign w:val="center"/>
          </w:tcPr>
          <w:p w14:paraId="6F65E96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1-4</w:t>
            </w:r>
          </w:p>
        </w:tc>
        <w:tc>
          <w:tcPr>
            <w:tcW w:w="2977" w:type="dxa"/>
          </w:tcPr>
          <w:p w14:paraId="33B8E49F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Efficacy and safety of Dimdazenil in adults with insomnia disorder: results from a multicenter, randomized, double-blind, placebo-controlled phase III trials</w:t>
            </w:r>
          </w:p>
        </w:tc>
        <w:tc>
          <w:tcPr>
            <w:tcW w:w="993" w:type="dxa"/>
          </w:tcPr>
          <w:p w14:paraId="57278280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SLEEP</w:t>
            </w:r>
          </w:p>
        </w:tc>
        <w:tc>
          <w:tcPr>
            <w:tcW w:w="850" w:type="dxa"/>
          </w:tcPr>
          <w:p w14:paraId="21C64111">
            <w:pPr>
              <w:spacing w:line="360" w:lineRule="exact"/>
              <w:jc w:val="left"/>
              <w:rPr>
                <w:rFonts w:ascii="Calibri" w:hAnsi="Calibri" w:eastAsia="FangSong" w:cs="宋体"/>
                <w:snapToGrid w:val="0"/>
                <w:w w:val="105"/>
                <w:szCs w:val="21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2024,47(2):zsad272</w:t>
            </w:r>
          </w:p>
          <w:p w14:paraId="4DBAF77A">
            <w:pPr>
              <w:spacing w:line="360" w:lineRule="exact"/>
              <w:jc w:val="left"/>
              <w:rPr>
                <w:rFonts w:ascii="Calibri" w:hAnsi="Calibri" w:eastAsia="FangSong" w:cs="宋体"/>
                <w:snapToGrid w:val="0"/>
                <w:w w:val="105"/>
                <w:szCs w:val="21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在线发表时间：</w:t>
            </w:r>
          </w:p>
          <w:p w14:paraId="18B4D60B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2023.10.24</w:t>
            </w:r>
          </w:p>
        </w:tc>
        <w:tc>
          <w:tcPr>
            <w:tcW w:w="709" w:type="dxa"/>
          </w:tcPr>
          <w:p w14:paraId="6C842BD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4.9</w:t>
            </w:r>
          </w:p>
        </w:tc>
        <w:tc>
          <w:tcPr>
            <w:tcW w:w="1276" w:type="dxa"/>
          </w:tcPr>
          <w:p w14:paraId="25932B74">
            <w:pPr>
              <w:widowControl/>
              <w:jc w:val="left"/>
              <w:rPr>
                <w:rFonts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黄朝阳，詹淑琴，陈春燕，张若溪，周艳玲，何晶晶，林兆存，包存刚，朱双鹏，赵建军，张盛安，蒋钰，王玉平</w:t>
            </w:r>
          </w:p>
        </w:tc>
        <w:tc>
          <w:tcPr>
            <w:tcW w:w="992" w:type="dxa"/>
          </w:tcPr>
          <w:p w14:paraId="19F6D24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王玉平；蒋宇</w:t>
            </w:r>
          </w:p>
        </w:tc>
        <w:tc>
          <w:tcPr>
            <w:tcW w:w="850" w:type="dxa"/>
          </w:tcPr>
          <w:p w14:paraId="2CEE2FD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48AECFA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9</w:t>
            </w:r>
          </w:p>
        </w:tc>
        <w:tc>
          <w:tcPr>
            <w:tcW w:w="850" w:type="dxa"/>
          </w:tcPr>
          <w:p w14:paraId="756042FB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20A3CF4F">
        <w:tc>
          <w:tcPr>
            <w:tcW w:w="709" w:type="dxa"/>
            <w:vAlign w:val="center"/>
          </w:tcPr>
          <w:p w14:paraId="72F8B24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1-5</w:t>
            </w:r>
          </w:p>
        </w:tc>
        <w:tc>
          <w:tcPr>
            <w:tcW w:w="2977" w:type="dxa"/>
          </w:tcPr>
          <w:p w14:paraId="49DD28B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Transcranial alternating current stimulation for treating depression: a randomized controlled trial</w:t>
            </w:r>
          </w:p>
        </w:tc>
        <w:tc>
          <w:tcPr>
            <w:tcW w:w="993" w:type="dxa"/>
          </w:tcPr>
          <w:p w14:paraId="446FA7F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BRAIN</w:t>
            </w:r>
          </w:p>
        </w:tc>
        <w:tc>
          <w:tcPr>
            <w:tcW w:w="850" w:type="dxa"/>
          </w:tcPr>
          <w:p w14:paraId="0A8B33A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2022,29;145(1):83-91</w:t>
            </w:r>
          </w:p>
        </w:tc>
        <w:tc>
          <w:tcPr>
            <w:tcW w:w="709" w:type="dxa"/>
          </w:tcPr>
          <w:p w14:paraId="194A4D3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11.7</w:t>
            </w:r>
          </w:p>
        </w:tc>
        <w:tc>
          <w:tcPr>
            <w:tcW w:w="1276" w:type="dxa"/>
          </w:tcPr>
          <w:p w14:paraId="5281EB6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王红星;王坤;薛青;彭茂;尹璐;顾雪村;冷海霞 ;路娟;刘宏志;王頔;肖瑾;孙志超;李宁;董凯;张倩;詹淑琴;</w:t>
            </w: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  <w:lang w:val="en-US" w:eastAsia="zh-CN"/>
              </w:rPr>
              <w:t>樊</w:t>
            </w: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春秋;闵宝权;周爱红;谢云燕;宋海庆;叶静;刘爱华;高冉;黄</w:t>
            </w: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  <w:lang w:val="en-US" w:eastAsia="zh-CN"/>
              </w:rPr>
              <w:t>礼</w:t>
            </w: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媛，矫黎东;</w:t>
            </w: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  <w:lang w:val="en-US" w:eastAsia="zh-CN"/>
              </w:rPr>
              <w:t>宋旸</w:t>
            </w: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;董会卿;田子辰;司天梅;张向阳、李新民、 Atsushi Kamiya;Fiammetta Cosci;高克明 ;王玉平</w:t>
            </w:r>
          </w:p>
        </w:tc>
        <w:tc>
          <w:tcPr>
            <w:tcW w:w="992" w:type="dxa"/>
          </w:tcPr>
          <w:p w14:paraId="5D3000B7">
            <w:pPr>
              <w:spacing w:line="360" w:lineRule="exact"/>
              <w:jc w:val="left"/>
              <w:rPr>
                <w:rFonts w:ascii="Calibri" w:hAnsi="Calibri" w:eastAsia="FangSong" w:cs="宋体"/>
                <w:snapToGrid w:val="0"/>
                <w:w w:val="105"/>
                <w:szCs w:val="21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王玉平;王红星</w:t>
            </w:r>
          </w:p>
          <w:p w14:paraId="15985ED3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850" w:type="dxa"/>
          </w:tcPr>
          <w:p w14:paraId="117A7F2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236D8F81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93</w:t>
            </w:r>
          </w:p>
        </w:tc>
        <w:tc>
          <w:tcPr>
            <w:tcW w:w="850" w:type="dxa"/>
          </w:tcPr>
          <w:p w14:paraId="3D271D8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291C6595">
        <w:tc>
          <w:tcPr>
            <w:tcW w:w="709" w:type="dxa"/>
            <w:vAlign w:val="center"/>
          </w:tcPr>
          <w:p w14:paraId="4754BD53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1-6</w:t>
            </w:r>
          </w:p>
        </w:tc>
        <w:tc>
          <w:tcPr>
            <w:tcW w:w="2977" w:type="dxa"/>
          </w:tcPr>
          <w:p w14:paraId="18EFF8C3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Repetitive transcranial magnetic stimulation of the right parietal cortex for comorbid generalized anxiety disorder and insomnia: A randomized, double-blind, sham-controlled pilot study</w:t>
            </w:r>
          </w:p>
        </w:tc>
        <w:tc>
          <w:tcPr>
            <w:tcW w:w="993" w:type="dxa"/>
          </w:tcPr>
          <w:p w14:paraId="492721F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BRAIN STIMULATION</w:t>
            </w:r>
          </w:p>
        </w:tc>
        <w:tc>
          <w:tcPr>
            <w:tcW w:w="850" w:type="dxa"/>
          </w:tcPr>
          <w:p w14:paraId="7D4FB5E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2018,11(5):1103-1109</w:t>
            </w:r>
          </w:p>
        </w:tc>
        <w:tc>
          <w:tcPr>
            <w:tcW w:w="709" w:type="dxa"/>
          </w:tcPr>
          <w:p w14:paraId="76018A2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8.4</w:t>
            </w:r>
          </w:p>
        </w:tc>
        <w:tc>
          <w:tcPr>
            <w:tcW w:w="1276" w:type="dxa"/>
          </w:tcPr>
          <w:p w14:paraId="341EA98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黄朝阳;李越;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Matt T. Bianchi</w:t>
            </w: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;詹淑琴;姜凤英;李宁;丁岩;侯月;王黎;欧阳取平;王玉平</w:t>
            </w:r>
          </w:p>
        </w:tc>
        <w:tc>
          <w:tcPr>
            <w:tcW w:w="992" w:type="dxa"/>
          </w:tcPr>
          <w:p w14:paraId="175B71E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</w:t>
            </w:r>
          </w:p>
        </w:tc>
        <w:tc>
          <w:tcPr>
            <w:tcW w:w="850" w:type="dxa"/>
          </w:tcPr>
          <w:p w14:paraId="2A2D38B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23E53B6B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79</w:t>
            </w:r>
          </w:p>
        </w:tc>
        <w:tc>
          <w:tcPr>
            <w:tcW w:w="850" w:type="dxa"/>
          </w:tcPr>
          <w:p w14:paraId="2C252C2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3BA824D7">
        <w:tc>
          <w:tcPr>
            <w:tcW w:w="709" w:type="dxa"/>
            <w:vAlign w:val="center"/>
          </w:tcPr>
          <w:p w14:paraId="4171D78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1-7</w:t>
            </w:r>
          </w:p>
        </w:tc>
        <w:tc>
          <w:tcPr>
            <w:tcW w:w="2977" w:type="dxa"/>
          </w:tcPr>
          <w:p w14:paraId="47670E9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Repetitive transcranial magnetic stimulation (rTMS) modulates time-varying electroencephalography (EEG) network in primary insomnia patients: a TMS-EEG study</w:t>
            </w:r>
          </w:p>
        </w:tc>
        <w:tc>
          <w:tcPr>
            <w:tcW w:w="993" w:type="dxa"/>
          </w:tcPr>
          <w:p w14:paraId="57A6C26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SLEEP MEDICINE</w:t>
            </w:r>
          </w:p>
        </w:tc>
        <w:tc>
          <w:tcPr>
            <w:tcW w:w="850" w:type="dxa"/>
          </w:tcPr>
          <w:p w14:paraId="337D525F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2019,56:157-163</w:t>
            </w:r>
          </w:p>
        </w:tc>
        <w:tc>
          <w:tcPr>
            <w:tcW w:w="709" w:type="dxa"/>
          </w:tcPr>
          <w:p w14:paraId="69CDD5A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3.4</w:t>
            </w:r>
          </w:p>
        </w:tc>
        <w:tc>
          <w:tcPr>
            <w:tcW w:w="1276" w:type="dxa"/>
          </w:tcPr>
          <w:p w14:paraId="1889A0D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宋鹏辉;林华;李思燃;王黎;刘江红;李宁;王玉平</w:t>
            </w:r>
          </w:p>
        </w:tc>
        <w:tc>
          <w:tcPr>
            <w:tcW w:w="992" w:type="dxa"/>
          </w:tcPr>
          <w:p w14:paraId="72ECFF2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</w:t>
            </w:r>
          </w:p>
        </w:tc>
        <w:tc>
          <w:tcPr>
            <w:tcW w:w="850" w:type="dxa"/>
          </w:tcPr>
          <w:p w14:paraId="0906205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4B14607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49</w:t>
            </w:r>
          </w:p>
        </w:tc>
        <w:tc>
          <w:tcPr>
            <w:tcW w:w="850" w:type="dxa"/>
          </w:tcPr>
          <w:p w14:paraId="67C64093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587651DB">
        <w:tc>
          <w:tcPr>
            <w:tcW w:w="709" w:type="dxa"/>
            <w:vAlign w:val="center"/>
          </w:tcPr>
          <w:p w14:paraId="3C9A12F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1-8</w:t>
            </w:r>
          </w:p>
        </w:tc>
        <w:tc>
          <w:tcPr>
            <w:tcW w:w="2977" w:type="dxa"/>
          </w:tcPr>
          <w:p w14:paraId="7DD7474D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820-nm Transcranial near-infrared stimulation on the left DLPFC relieved anxiety: A randomized, double-blind, sham-controlled study</w:t>
            </w:r>
          </w:p>
        </w:tc>
        <w:tc>
          <w:tcPr>
            <w:tcW w:w="993" w:type="dxa"/>
          </w:tcPr>
          <w:p w14:paraId="46D75B8B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BRAIN RESEARCH BULLETIN</w:t>
            </w:r>
          </w:p>
        </w:tc>
        <w:tc>
          <w:tcPr>
            <w:tcW w:w="850" w:type="dxa"/>
          </w:tcPr>
          <w:p w14:paraId="4EDFC607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2023,200:110682</w:t>
            </w:r>
          </w:p>
        </w:tc>
        <w:tc>
          <w:tcPr>
            <w:tcW w:w="709" w:type="dxa"/>
          </w:tcPr>
          <w:p w14:paraId="79BCCEE9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3.7</w:t>
            </w:r>
          </w:p>
        </w:tc>
        <w:tc>
          <w:tcPr>
            <w:tcW w:w="1276" w:type="dxa"/>
          </w:tcPr>
          <w:p w14:paraId="5B5AAEB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王慧聪;宋鹏辉;侯月;刘江红;郝文思;胡士敏;代晓娜;詹淑琴;李宁;彭茂;王红星;林华;王玉平</w:t>
            </w:r>
          </w:p>
        </w:tc>
        <w:tc>
          <w:tcPr>
            <w:tcW w:w="992" w:type="dxa"/>
          </w:tcPr>
          <w:p w14:paraId="40ED75E0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王玉平;宋鹏辉</w:t>
            </w:r>
          </w:p>
        </w:tc>
        <w:tc>
          <w:tcPr>
            <w:tcW w:w="850" w:type="dxa"/>
          </w:tcPr>
          <w:p w14:paraId="70CFF29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749A20A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10</w:t>
            </w:r>
          </w:p>
        </w:tc>
        <w:tc>
          <w:tcPr>
            <w:tcW w:w="850" w:type="dxa"/>
          </w:tcPr>
          <w:p w14:paraId="57E3C7D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000F86C9">
        <w:tc>
          <w:tcPr>
            <w:tcW w:w="709" w:type="dxa"/>
            <w:vAlign w:val="center"/>
          </w:tcPr>
          <w:p w14:paraId="4E2F14B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zCs w:val="21"/>
              </w:rPr>
              <w:t>1-9</w:t>
            </w:r>
          </w:p>
        </w:tc>
        <w:tc>
          <w:tcPr>
            <w:tcW w:w="2977" w:type="dxa"/>
          </w:tcPr>
          <w:p w14:paraId="7F3AF90F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Discriminative neural pathways for perception-cognition activity of color and face in the human brain</w:t>
            </w:r>
          </w:p>
        </w:tc>
        <w:tc>
          <w:tcPr>
            <w:tcW w:w="993" w:type="dxa"/>
          </w:tcPr>
          <w:p w14:paraId="1471BE52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CEREBRAL CORTEX</w:t>
            </w:r>
          </w:p>
        </w:tc>
        <w:tc>
          <w:tcPr>
            <w:tcW w:w="850" w:type="dxa"/>
          </w:tcPr>
          <w:p w14:paraId="6A9F0BA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2023,33(5):1972-1984</w:t>
            </w:r>
          </w:p>
        </w:tc>
        <w:tc>
          <w:tcPr>
            <w:tcW w:w="709" w:type="dxa"/>
          </w:tcPr>
          <w:p w14:paraId="728F0AE3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2.9</w:t>
            </w:r>
          </w:p>
        </w:tc>
        <w:tc>
          <w:tcPr>
            <w:tcW w:w="1276" w:type="dxa"/>
          </w:tcPr>
          <w:p w14:paraId="74A1A504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周琪琳;杜佳琳;高润石;胡士敏;遇涛;王玉平;潘娜</w:t>
            </w:r>
          </w:p>
        </w:tc>
        <w:tc>
          <w:tcPr>
            <w:tcW w:w="992" w:type="dxa"/>
          </w:tcPr>
          <w:p w14:paraId="784482B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王玉平;潘娜</w:t>
            </w:r>
          </w:p>
        </w:tc>
        <w:tc>
          <w:tcPr>
            <w:tcW w:w="850" w:type="dxa"/>
          </w:tcPr>
          <w:p w14:paraId="77576E7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SCIE</w:t>
            </w:r>
          </w:p>
        </w:tc>
        <w:tc>
          <w:tcPr>
            <w:tcW w:w="851" w:type="dxa"/>
          </w:tcPr>
          <w:p w14:paraId="70367A50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4</w:t>
            </w:r>
          </w:p>
        </w:tc>
        <w:tc>
          <w:tcPr>
            <w:tcW w:w="850" w:type="dxa"/>
          </w:tcPr>
          <w:p w14:paraId="74FF4539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185E4911">
        <w:tc>
          <w:tcPr>
            <w:tcW w:w="709" w:type="dxa"/>
            <w:vAlign w:val="center"/>
          </w:tcPr>
          <w:p w14:paraId="6EB26FDC">
            <w:pPr>
              <w:pStyle w:val="2"/>
              <w:spacing w:line="360" w:lineRule="exact"/>
              <w:ind w:firstLine="0" w:firstLineChars="0"/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="Times New Roman" w:hAnsi="Calibri" w:eastAsia="FangSong" w:cs="宋体"/>
                <w:sz w:val="21"/>
                <w:szCs w:val="21"/>
              </w:rPr>
              <w:t>1-10</w:t>
            </w:r>
          </w:p>
        </w:tc>
        <w:tc>
          <w:tcPr>
            <w:tcW w:w="2977" w:type="dxa"/>
          </w:tcPr>
          <w:p w14:paraId="4E7A368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不同性别抑郁症患者自杀意念的相关危险因素比较</w:t>
            </w:r>
          </w:p>
        </w:tc>
        <w:tc>
          <w:tcPr>
            <w:tcW w:w="993" w:type="dxa"/>
          </w:tcPr>
          <w:p w14:paraId="418A6DA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="Calibri" w:hAnsi="Calibri" w:eastAsia="FangSong" w:cs="宋体"/>
                <w:snapToGrid w:val="0"/>
                <w:w w:val="105"/>
                <w:szCs w:val="21"/>
              </w:rPr>
              <w:t>神经疾病与精神卫生</w:t>
            </w:r>
          </w:p>
        </w:tc>
        <w:tc>
          <w:tcPr>
            <w:tcW w:w="850" w:type="dxa"/>
          </w:tcPr>
          <w:p w14:paraId="769D5144">
            <w:pPr>
              <w:spacing w:line="360" w:lineRule="exact"/>
              <w:jc w:val="left"/>
              <w:rPr>
                <w:rFonts w:ascii="Calibri" w:hAnsi="Calibri" w:eastAsia="FangSong" w:cs="宋体"/>
                <w:snapToGrid w:val="0"/>
                <w:w w:val="105"/>
                <w:szCs w:val="21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2014,14(02):147-149.</w:t>
            </w:r>
          </w:p>
          <w:p w14:paraId="0C43A75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709" w:type="dxa"/>
          </w:tcPr>
          <w:p w14:paraId="1A77CEBC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1.222</w:t>
            </w:r>
          </w:p>
        </w:tc>
        <w:tc>
          <w:tcPr>
            <w:tcW w:w="1276" w:type="dxa"/>
          </w:tcPr>
          <w:p w14:paraId="0142CE21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赵晓川,王学义,金圭星,赵媛媛</w:t>
            </w:r>
          </w:p>
        </w:tc>
        <w:tc>
          <w:tcPr>
            <w:tcW w:w="992" w:type="dxa"/>
          </w:tcPr>
          <w:p w14:paraId="7AEA7491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赵媛媛</w:t>
            </w:r>
          </w:p>
        </w:tc>
        <w:tc>
          <w:tcPr>
            <w:tcW w:w="850" w:type="dxa"/>
          </w:tcPr>
          <w:p w14:paraId="0F86E1C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CNKI</w:t>
            </w:r>
          </w:p>
        </w:tc>
        <w:tc>
          <w:tcPr>
            <w:tcW w:w="851" w:type="dxa"/>
          </w:tcPr>
          <w:p w14:paraId="449155E8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14</w:t>
            </w:r>
          </w:p>
        </w:tc>
        <w:tc>
          <w:tcPr>
            <w:tcW w:w="850" w:type="dxa"/>
          </w:tcPr>
          <w:p w14:paraId="1699765B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 w:cs="宋体"/>
                <w:snapToGrid w:val="0"/>
                <w:w w:val="105"/>
                <w:szCs w:val="21"/>
              </w:rPr>
              <w:t>否</w:t>
            </w:r>
          </w:p>
        </w:tc>
      </w:tr>
      <w:tr w14:paraId="08FF79FA">
        <w:tc>
          <w:tcPr>
            <w:tcW w:w="709" w:type="dxa"/>
          </w:tcPr>
          <w:p w14:paraId="7425DA01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="Calibri" w:hAnsi="Calibri" w:eastAsia="FangSong"/>
                <w:b/>
                <w:szCs w:val="21"/>
              </w:rPr>
              <w:t>合计</w:t>
            </w:r>
          </w:p>
        </w:tc>
        <w:tc>
          <w:tcPr>
            <w:tcW w:w="2977" w:type="dxa"/>
          </w:tcPr>
          <w:p w14:paraId="6B29477B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993" w:type="dxa"/>
          </w:tcPr>
          <w:p w14:paraId="29A821E9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850" w:type="dxa"/>
          </w:tcPr>
          <w:p w14:paraId="3229B499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709" w:type="dxa"/>
          </w:tcPr>
          <w:p w14:paraId="050219F7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1276" w:type="dxa"/>
          </w:tcPr>
          <w:p w14:paraId="3CAADE0A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992" w:type="dxa"/>
          </w:tcPr>
          <w:p w14:paraId="0215002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850" w:type="dxa"/>
          </w:tcPr>
          <w:p w14:paraId="7AB37576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851" w:type="dxa"/>
          </w:tcPr>
          <w:p w14:paraId="51AE30E5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  <w:tc>
          <w:tcPr>
            <w:tcW w:w="850" w:type="dxa"/>
          </w:tcPr>
          <w:p w14:paraId="2296A9DE">
            <w:pPr>
              <w:widowControl/>
              <w:jc w:val="left"/>
              <w:rPr>
                <w:rFonts w:asciiTheme="minorEastAsia" w:hAnsiTheme="minorEastAsia" w:eastAsiaTheme="minorEastAsia"/>
                <w:b/>
                <w:sz w:val="24"/>
              </w:rPr>
            </w:pPr>
          </w:p>
        </w:tc>
      </w:tr>
    </w:tbl>
    <w:p w14:paraId="37C2A8D6">
      <w:pPr>
        <w:rPr>
          <w:rFonts w:hint="eastAsia" w:ascii="宋体" w:hAnsi="宋体" w:cs="Arial"/>
          <w:color w:val="000000"/>
          <w:spacing w:val="2"/>
          <w:kern w:val="0"/>
          <w:sz w:val="24"/>
          <w:szCs w:val="24"/>
          <w:lang w:val="en-US" w:eastAsia="zh-CN"/>
          <w14:ligatures w14:val="none"/>
        </w:rPr>
      </w:pPr>
    </w:p>
    <w:p w14:paraId="3D5AB5FE">
      <w:pPr>
        <w:numPr>
          <w:ilvl w:val="0"/>
          <w:numId w:val="1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  <w:t>知识产权证明目录：</w:t>
      </w:r>
    </w:p>
    <w:tbl>
      <w:tblPr>
        <w:tblStyle w:val="5"/>
        <w:tblW w:w="1102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4"/>
        <w:gridCol w:w="718"/>
        <w:gridCol w:w="2035"/>
        <w:gridCol w:w="1267"/>
        <w:gridCol w:w="2791"/>
        <w:gridCol w:w="1794"/>
      </w:tblGrid>
      <w:tr w14:paraId="11FEB867">
        <w:trPr>
          <w:jc w:val="center"/>
        </w:trPr>
        <w:tc>
          <w:tcPr>
            <w:tcW w:w="861" w:type="dxa"/>
            <w:vAlign w:val="center"/>
          </w:tcPr>
          <w:p w14:paraId="3B0FAB4A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序号</w:t>
            </w:r>
          </w:p>
        </w:tc>
        <w:tc>
          <w:tcPr>
            <w:tcW w:w="1571" w:type="dxa"/>
            <w:vAlign w:val="center"/>
          </w:tcPr>
          <w:p w14:paraId="632B1AE2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类别</w:t>
            </w:r>
          </w:p>
        </w:tc>
        <w:tc>
          <w:tcPr>
            <w:tcW w:w="720" w:type="dxa"/>
            <w:vAlign w:val="center"/>
          </w:tcPr>
          <w:p w14:paraId="07B34A9D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国别</w:t>
            </w:r>
          </w:p>
        </w:tc>
        <w:tc>
          <w:tcPr>
            <w:tcW w:w="2036" w:type="dxa"/>
            <w:vAlign w:val="center"/>
          </w:tcPr>
          <w:p w14:paraId="04421BD7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专利号</w:t>
            </w:r>
          </w:p>
        </w:tc>
        <w:tc>
          <w:tcPr>
            <w:tcW w:w="1234" w:type="dxa"/>
            <w:vAlign w:val="center"/>
          </w:tcPr>
          <w:p w14:paraId="7732C06C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授权时间</w:t>
            </w:r>
          </w:p>
        </w:tc>
        <w:tc>
          <w:tcPr>
            <w:tcW w:w="2805" w:type="dxa"/>
            <w:vAlign w:val="center"/>
          </w:tcPr>
          <w:p w14:paraId="710CEDB6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知识产权具体</w:t>
            </w:r>
            <w:r>
              <w:rPr>
                <w:rFonts w:ascii="Times New Roman" w:hAnsi="Calibri" w:eastAsia="FangSong"/>
                <w:sz w:val="21"/>
                <w:szCs w:val="21"/>
              </w:rPr>
              <w:t>名称</w:t>
            </w:r>
          </w:p>
        </w:tc>
        <w:tc>
          <w:tcPr>
            <w:tcW w:w="1801" w:type="dxa"/>
            <w:vAlign w:val="center"/>
          </w:tcPr>
          <w:p w14:paraId="18085056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全部发明人</w:t>
            </w:r>
          </w:p>
        </w:tc>
      </w:tr>
      <w:tr w14:paraId="17DEF957">
        <w:trPr>
          <w:jc w:val="center"/>
        </w:trPr>
        <w:tc>
          <w:tcPr>
            <w:tcW w:w="861" w:type="dxa"/>
            <w:vAlign w:val="center"/>
          </w:tcPr>
          <w:p w14:paraId="73F513FE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2-1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1C0CE98B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中国发明专利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6682D1F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5597DDDF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ZL202010179227.2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3E278529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2021.03.23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0D2C44DF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多靶点电刺激电路、电刺激器及其信号输出方法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765AE3B8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王玉平;颜至远</w:t>
            </w:r>
          </w:p>
        </w:tc>
      </w:tr>
      <w:tr w14:paraId="495072F2">
        <w:trPr>
          <w:jc w:val="center"/>
        </w:trPr>
        <w:tc>
          <w:tcPr>
            <w:tcW w:w="861" w:type="dxa"/>
            <w:vAlign w:val="center"/>
          </w:tcPr>
          <w:p w14:paraId="60103CDF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2-2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69FC0EAD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 w:cs="宋体"/>
                <w:kern w:val="0"/>
                <w:sz w:val="21"/>
                <w:szCs w:val="21"/>
                <w:lang w:bidi="ar"/>
              </w:rPr>
              <w:t>国外专利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5CBF09F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日本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7BDABB35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特許第7224710号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114CC9FB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2023.02.10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49ED610C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多靶点电刺激电路、电刺激器及其信号输出方法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32B0F269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王玉平;颜至远</w:t>
            </w:r>
          </w:p>
        </w:tc>
      </w:tr>
      <w:tr w14:paraId="691FB116">
        <w:trPr>
          <w:jc w:val="center"/>
        </w:trPr>
        <w:tc>
          <w:tcPr>
            <w:tcW w:w="861" w:type="dxa"/>
            <w:vAlign w:val="center"/>
          </w:tcPr>
          <w:p w14:paraId="2E568EB9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2-3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49AE1CC2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 w:cs="宋体"/>
                <w:kern w:val="0"/>
                <w:sz w:val="21"/>
                <w:szCs w:val="21"/>
                <w:lang w:bidi="ar"/>
              </w:rPr>
              <w:t>国外专利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792183E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美国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7AB8CD39">
            <w:pPr>
              <w:widowControl/>
              <w:spacing w:line="360" w:lineRule="exact"/>
              <w:jc w:val="left"/>
              <w:rPr>
                <w:rFonts w:ascii="Calibri" w:hAnsi="Calibri" w:eastAsia="FangSong" w:cs="宋体"/>
                <w:kern w:val="0"/>
                <w:szCs w:val="21"/>
                <w:lang w:bidi="ar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US11850429B2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1EA60795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2023.12.26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27DACFA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多靶点电刺激电路、电刺激器及其信号输出方法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0A61E876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王玉平;颜至远</w:t>
            </w:r>
          </w:p>
        </w:tc>
      </w:tr>
      <w:tr w14:paraId="7C56327A">
        <w:trPr>
          <w:jc w:val="center"/>
        </w:trPr>
        <w:tc>
          <w:tcPr>
            <w:tcW w:w="861" w:type="dxa"/>
            <w:vAlign w:val="center"/>
          </w:tcPr>
          <w:p w14:paraId="7FD977FF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2-4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54DD7E20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 w:cs="宋体"/>
                <w:kern w:val="0"/>
                <w:sz w:val="21"/>
                <w:szCs w:val="21"/>
                <w:lang w:bidi="ar"/>
              </w:rPr>
              <w:t>国外专利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03C81A4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="Times New Roman" w:hAnsi="Calibri" w:eastAsia="FangSong"/>
                <w:sz w:val="21"/>
                <w:szCs w:val="21"/>
              </w:rPr>
              <w:t>德国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3C465F9F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EP4566661</w:t>
            </w:r>
          </w:p>
        </w:tc>
        <w:tc>
          <w:tcPr>
            <w:tcW w:w="1234" w:type="dxa"/>
            <w:shd w:val="clear" w:color="auto" w:fill="FFFFFF"/>
            <w:vAlign w:val="center"/>
          </w:tcPr>
          <w:p w14:paraId="72CF37F1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2026.0</w:t>
            </w:r>
            <w:r>
              <w:rPr>
                <w:rFonts w:ascii="Calibri" w:hAnsi="Calibri" w:eastAsia="FangSong" w:cs="宋体"/>
                <w:kern w:val="0"/>
                <w:szCs w:val="21"/>
                <w:lang w:bidi="ar"/>
              </w:rPr>
              <w:t>4</w:t>
            </w: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.1</w:t>
            </w:r>
            <w:r>
              <w:rPr>
                <w:rFonts w:ascii="Calibri" w:hAnsi="Calibri" w:eastAsia="FangSong" w:cs="宋体"/>
                <w:kern w:val="0"/>
                <w:szCs w:val="21"/>
                <w:lang w:bidi="ar"/>
              </w:rPr>
              <w:t>6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12A208F2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一种用于深部经颅磁刺激调控治疗装置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6D3DF112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王玉平</w:t>
            </w:r>
          </w:p>
        </w:tc>
      </w:tr>
      <w:tr w14:paraId="4A1862B4">
        <w:trPr>
          <w:jc w:val="center"/>
        </w:trPr>
        <w:tc>
          <w:tcPr>
            <w:tcW w:w="861" w:type="dxa"/>
            <w:vAlign w:val="center"/>
          </w:tcPr>
          <w:p w14:paraId="11DB64BD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2-5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28B46839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中国发明专利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C0F2A13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5CCDECCC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ZL201711448942.6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3023C67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2020.11.20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7D423A4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一种经颅电磁同步刺激系统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0683DD1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王玉平</w:t>
            </w:r>
          </w:p>
        </w:tc>
      </w:tr>
      <w:tr w14:paraId="76806A15">
        <w:trPr>
          <w:jc w:val="center"/>
        </w:trPr>
        <w:tc>
          <w:tcPr>
            <w:tcW w:w="861" w:type="dxa"/>
            <w:vAlign w:val="center"/>
          </w:tcPr>
          <w:p w14:paraId="248F5CD3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2-6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2AE8BE6E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/>
                <w:szCs w:val="21"/>
              </w:rPr>
              <w:t>中国</w:t>
            </w: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发明专利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DDE4925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13A8D95A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ZL202210546981.4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4FA6FB0E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2023.08.18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3FA2C1D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非植入式多靶点反馈式电刺激器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3F7B412E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王玉平;颜至远</w:t>
            </w:r>
          </w:p>
        </w:tc>
      </w:tr>
      <w:tr w14:paraId="11012EFA">
        <w:trPr>
          <w:jc w:val="center"/>
        </w:trPr>
        <w:tc>
          <w:tcPr>
            <w:tcW w:w="861" w:type="dxa"/>
            <w:shd w:val="clear" w:color="auto" w:fill="auto"/>
            <w:vAlign w:val="center"/>
          </w:tcPr>
          <w:p w14:paraId="3772A8CE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2-7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44C2C65F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/>
                <w:szCs w:val="21"/>
              </w:rPr>
              <w:t>中国</w:t>
            </w: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发明专利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F40F4B0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79F7FD65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ZL202410766406.4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39C0F677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2025.11.07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3ABC06ED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非侵入式经颅电磁相位同步刺激系统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A6287D0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王为民;杨刚; 林恺昇</w:t>
            </w:r>
          </w:p>
        </w:tc>
      </w:tr>
      <w:tr w14:paraId="55716074">
        <w:trPr>
          <w:jc w:val="center"/>
        </w:trPr>
        <w:tc>
          <w:tcPr>
            <w:tcW w:w="861" w:type="dxa"/>
            <w:shd w:val="clear" w:color="auto" w:fill="auto"/>
            <w:vAlign w:val="center"/>
          </w:tcPr>
          <w:p w14:paraId="7573DC52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2-8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78D83C22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/>
                <w:szCs w:val="21"/>
              </w:rPr>
              <w:t>中国</w:t>
            </w: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发明专利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A87D86B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68864248">
            <w:pPr>
              <w:pStyle w:val="2"/>
              <w:spacing w:line="360" w:lineRule="exact"/>
              <w:ind w:firstLine="0" w:firstLineChars="0"/>
              <w:jc w:val="left"/>
              <w:rPr>
                <w:rFonts w:ascii="宋体" w:hAnsi="Calibri"/>
                <w:szCs w:val="24"/>
                <w:lang w:val="zh-CN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ZL201410596936.5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01A9B3F4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201</w:t>
            </w:r>
            <w:r>
              <w:rPr>
                <w:rFonts w:ascii="Times New Roman" w:hAnsi="Calibri" w:eastAsia="FangSong"/>
                <w:sz w:val="21"/>
                <w:szCs w:val="21"/>
              </w:rPr>
              <w:t>7</w:t>
            </w:r>
            <w:r>
              <w:rPr>
                <w:rFonts w:hint="eastAsia" w:ascii="Times New Roman" w:hAnsi="Calibri" w:eastAsia="FangSong"/>
                <w:sz w:val="21"/>
                <w:szCs w:val="21"/>
              </w:rPr>
              <w:t>.</w:t>
            </w:r>
            <w:r>
              <w:rPr>
                <w:rFonts w:ascii="Times New Roman" w:hAnsi="Calibri" w:eastAsia="FangSong"/>
                <w:sz w:val="21"/>
                <w:szCs w:val="21"/>
              </w:rPr>
              <w:t>11</w:t>
            </w:r>
            <w:r>
              <w:rPr>
                <w:rFonts w:hint="eastAsia" w:ascii="Times New Roman" w:hAnsi="Calibri" w:eastAsia="FangSong"/>
                <w:sz w:val="21"/>
                <w:szCs w:val="21"/>
              </w:rPr>
              <w:t>.</w:t>
            </w:r>
            <w:r>
              <w:rPr>
                <w:rFonts w:ascii="Times New Roman" w:hAnsi="Calibri" w:eastAsia="FangSong"/>
                <w:sz w:val="21"/>
                <w:szCs w:val="21"/>
              </w:rPr>
              <w:t>28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6694B6A">
            <w:pPr>
              <w:pStyle w:val="3"/>
              <w:rPr>
                <w:rFonts w:ascii="宋体" w:hAnsi="宋体" w:eastAsia="宋体"/>
                <w:sz w:val="22"/>
                <w:szCs w:val="22"/>
              </w:rPr>
            </w:pPr>
            <w:r>
              <w:rPr>
                <w:rFonts w:hint="eastAsia" w:ascii="宋体" w:hAnsi="宋体" w:eastAsia="宋体"/>
                <w:sz w:val="22"/>
                <w:szCs w:val="22"/>
              </w:rPr>
              <w:t>植入式神经刺激器电极触点结构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707F0F0D">
            <w:pPr>
              <w:widowControl/>
              <w:spacing w:line="360" w:lineRule="exact"/>
              <w:jc w:val="left"/>
              <w:textAlignment w:val="top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杜玉惠</w:t>
            </w:r>
          </w:p>
        </w:tc>
      </w:tr>
      <w:tr w14:paraId="2F2F2EF8">
        <w:trPr>
          <w:jc w:val="center"/>
        </w:trPr>
        <w:tc>
          <w:tcPr>
            <w:tcW w:w="861" w:type="dxa"/>
            <w:shd w:val="clear" w:color="auto" w:fill="auto"/>
            <w:vAlign w:val="center"/>
          </w:tcPr>
          <w:p w14:paraId="798E305B">
            <w:pPr>
              <w:pStyle w:val="2"/>
              <w:spacing w:line="360" w:lineRule="exact"/>
              <w:ind w:firstLine="0" w:firstLineChars="0"/>
              <w:jc w:val="center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ascii="Times New Roman" w:hAnsi="Calibri" w:eastAsia="FangSong"/>
                <w:sz w:val="21"/>
                <w:szCs w:val="21"/>
              </w:rPr>
              <w:t>2-9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5EE21AAD">
            <w:pPr>
              <w:widowControl/>
              <w:spacing w:line="360" w:lineRule="exact"/>
              <w:jc w:val="left"/>
              <w:textAlignment w:val="center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/>
                <w:szCs w:val="21"/>
              </w:rPr>
              <w:t>中国</w:t>
            </w: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发明专利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326565C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中国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10CBD666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ZL201810050826.7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76ECCBC3">
            <w:pPr>
              <w:pStyle w:val="2"/>
              <w:spacing w:line="360" w:lineRule="exact"/>
              <w:ind w:firstLine="0" w:firstLineChars="0"/>
              <w:jc w:val="left"/>
              <w:rPr>
                <w:rFonts w:ascii="Times New Roman" w:hAnsi="Calibri" w:eastAsia="FangSong"/>
                <w:sz w:val="21"/>
                <w:szCs w:val="21"/>
              </w:rPr>
            </w:pPr>
            <w:r>
              <w:rPr>
                <w:rFonts w:hint="eastAsia" w:ascii="Times New Roman" w:hAnsi="Calibri" w:eastAsia="FangSong"/>
                <w:sz w:val="21"/>
                <w:szCs w:val="21"/>
              </w:rPr>
              <w:t>2024.02.06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7551E755">
            <w:pPr>
              <w:widowControl/>
              <w:spacing w:line="360" w:lineRule="exact"/>
              <w:jc w:val="left"/>
              <w:textAlignment w:val="top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一种瓣状脑部电极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62248C81">
            <w:pPr>
              <w:widowControl/>
              <w:spacing w:line="360" w:lineRule="exact"/>
              <w:jc w:val="left"/>
              <w:textAlignment w:val="top"/>
              <w:rPr>
                <w:rFonts w:ascii="Calibri" w:hAnsi="Calibri" w:eastAsia="FangSong" w:cs="宋体"/>
                <w:szCs w:val="21"/>
              </w:rPr>
            </w:pPr>
            <w:r>
              <w:rPr>
                <w:rFonts w:hint="eastAsia" w:ascii="Calibri" w:hAnsi="Calibri" w:eastAsia="FangSong" w:cs="宋体"/>
                <w:kern w:val="0"/>
                <w:szCs w:val="21"/>
                <w:lang w:bidi="ar"/>
              </w:rPr>
              <w:t>马宏伟；杜玉惠；蒋军庭</w:t>
            </w:r>
          </w:p>
        </w:tc>
      </w:tr>
    </w:tbl>
    <w:p w14:paraId="3803887D">
      <w:pPr>
        <w:numPr>
          <w:numId w:val="0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</w:p>
    <w:p w14:paraId="647D4C77">
      <w:pPr>
        <w:numPr>
          <w:numId w:val="0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</w:p>
    <w:p w14:paraId="10AE5702">
      <w:pPr>
        <w:numPr>
          <w:ilvl w:val="0"/>
          <w:numId w:val="1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  <w:t>完成人情况，包括姓名、排名、职称、行政职务、工作单位、对本项目的贡献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864"/>
        <w:gridCol w:w="569"/>
        <w:gridCol w:w="992"/>
        <w:gridCol w:w="1418"/>
        <w:gridCol w:w="1275"/>
        <w:gridCol w:w="1276"/>
        <w:gridCol w:w="1355"/>
      </w:tblGrid>
      <w:tr w14:paraId="6B10DFEF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AABD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序号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FE0A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姓名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A365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排名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29E7D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职称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6EBD0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行政职务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1729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工作单位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4DCA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完成单位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19A1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对本项目贡献</w:t>
            </w:r>
          </w:p>
        </w:tc>
      </w:tr>
      <w:tr w14:paraId="1F403AC9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BB88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2F1AE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王玉平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E637F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BE8D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教授、</w:t>
            </w:r>
          </w:p>
          <w:p w14:paraId="592FB52D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666F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首都医科大学宣武医院河北医院院长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9405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1F73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41ED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项目负责人</w:t>
            </w:r>
          </w:p>
        </w:tc>
      </w:tr>
      <w:tr w14:paraId="62BDDCC6">
        <w:trPr>
          <w:trHeight w:val="48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BEB9C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AC18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王红星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F034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D8D3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教授、</w:t>
            </w:r>
          </w:p>
          <w:p w14:paraId="695F4953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CE6E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2AEB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48B6E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5A73F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441BD60D">
        <w:trPr>
          <w:trHeight w:val="41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B7D4F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31053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王学义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604B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F9BAD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教授、</w:t>
            </w:r>
          </w:p>
          <w:p w14:paraId="5914025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B33F9">
            <w:pPr>
              <w:widowControl/>
              <w:spacing w:line="320" w:lineRule="exact"/>
              <w:jc w:val="center"/>
              <w:rPr>
                <w:rFonts w:hint="default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  <w:t>名誉主任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A53CD">
            <w:pPr>
              <w:widowControl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河北医科大学精神卫生中心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844F8">
            <w:pPr>
              <w:widowControl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ACEC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647A63E4">
        <w:trPr>
          <w:trHeight w:val="46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F932D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E191C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黄朝阳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6396F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2937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cs="Arial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副</w:t>
            </w: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教授、</w:t>
            </w:r>
          </w:p>
          <w:p w14:paraId="49FDFB9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B879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无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D5AC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FB970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9EC4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04026EC0">
        <w:trPr>
          <w:trHeight w:val="52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7049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7B168">
            <w:pPr>
              <w:widowControl/>
              <w:spacing w:line="32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  <w:t>林一聪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D9E20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B0EAC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cs="Arial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副</w:t>
            </w: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教授、</w:t>
            </w:r>
          </w:p>
          <w:p w14:paraId="3EAD3E7D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DAF3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无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A02D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8DE6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8D93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321167BB">
        <w:trPr>
          <w:trHeight w:val="54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F65B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DC62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吕佳琦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82B60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4CDD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中级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A051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副总经理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1A4C9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浙江京新药业股份有限公司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B88A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浙江京新药业股份有限公司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6ACD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0DFCF962">
        <w:trPr>
          <w:trHeight w:val="53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5508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FB5A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宋鹏辉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849E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8811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eastAsia="宋体" w:cs="Arial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主治</w:t>
            </w: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CCBC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1B61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4017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96CB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1F692659">
        <w:trPr>
          <w:trHeight w:val="53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7E7F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8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AAD8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赵媛媛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FA96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8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27EFA">
            <w:pPr>
              <w:widowControl/>
              <w:spacing w:line="32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eastAsia="zh-CN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E1D42">
            <w:pPr>
              <w:widowControl/>
              <w:spacing w:line="32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eastAsia="zh-CN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副院长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517C3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D62D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4B0A3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4F37AB67">
        <w:trPr>
          <w:trHeight w:val="5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0E29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1DF3F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潘娜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E61A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547E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助理研究员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4CCB4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无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DD010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3B1E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CDEAF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61EA7088">
        <w:trPr>
          <w:trHeight w:val="5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7615E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10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F098D">
            <w:pPr>
              <w:widowControl/>
              <w:spacing w:line="32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  <w:t>刘春燕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E14C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F023C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研究员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594A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3E6B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6C87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5F3E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4A3A3606">
        <w:trPr>
          <w:trHeight w:val="55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BF129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11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FB75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田书娟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971C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11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ED94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教授、</w:t>
            </w:r>
          </w:p>
          <w:p w14:paraId="238D909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1760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科主任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A620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FA53F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341A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681BF48A">
        <w:trPr>
          <w:trHeight w:val="55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7714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12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1764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安翠霞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25DB3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12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DCDF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教授、</w:t>
            </w:r>
          </w:p>
          <w:p w14:paraId="2593E65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主任医师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4499D">
            <w:pPr>
              <w:widowControl/>
              <w:spacing w:line="320" w:lineRule="exact"/>
              <w:jc w:val="center"/>
              <w:rPr>
                <w:rFonts w:hint="default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中心主任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D2E6E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0CF9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97B4D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09239B2F">
        <w:trPr>
          <w:trHeight w:val="55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1BBB0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13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2DD84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王静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D5600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13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3513">
            <w:pPr>
              <w:widowControl/>
              <w:spacing w:line="32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  <w:t>副教授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B755A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BB08C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首都医科大学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189F7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首都医科大学基础医学院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821B5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0F62CF8B">
        <w:trPr>
          <w:trHeight w:val="55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D349B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14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69C2E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杜玉惠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33D1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14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F1F6F">
            <w:pPr>
              <w:widowControl/>
              <w:spacing w:line="32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  <w:t>无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2E1CD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总经理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6516A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常州瑞神安医疗器械有限公司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C32E3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常州瑞神安医疗器械有限公司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D4FE2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  <w:tr w14:paraId="5820F301">
        <w:trPr>
          <w:trHeight w:val="55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6954E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15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4D19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王为民</w:t>
            </w:r>
          </w:p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84EC5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15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82673">
            <w:pPr>
              <w:widowControl/>
              <w:spacing w:line="32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研究员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1E06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无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F2914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天津泰姆斯医疗科技有限公司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7C461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天津泰姆斯医疗科技有限公司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7E3A8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项目骨干</w:t>
            </w:r>
          </w:p>
        </w:tc>
      </w:tr>
    </w:tbl>
    <w:p w14:paraId="5F603CCE">
      <w:pPr>
        <w:numPr>
          <w:numId w:val="0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</w:p>
    <w:p w14:paraId="4E84E61B">
      <w:pPr>
        <w:numPr>
          <w:numId w:val="0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</w:p>
    <w:p w14:paraId="4D755CC3">
      <w:pPr>
        <w:numPr>
          <w:ilvl w:val="0"/>
          <w:numId w:val="1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  <w:t>完成单位情况，包括单位名称、排名，对本项目的贡献</w:t>
      </w:r>
    </w:p>
    <w:tbl>
      <w:tblPr>
        <w:tblStyle w:val="4"/>
        <w:tblW w:w="85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3300"/>
        <w:gridCol w:w="668"/>
        <w:gridCol w:w="3593"/>
      </w:tblGrid>
      <w:tr w14:paraId="48D31448"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65D5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序号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814D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单位名称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38EF0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排名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F4E14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对本项目的贡献</w:t>
            </w:r>
          </w:p>
        </w:tc>
      </w:tr>
      <w:tr w14:paraId="745302BE">
        <w:trPr>
          <w:trHeight w:val="401" w:hRule="atLeast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DDEC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87A38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首都医科大学宣武医院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58ED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56F1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项目牵头单位，统筹设计实施，对创新点一、二、三、四做出创新性贡献</w:t>
            </w:r>
          </w:p>
        </w:tc>
      </w:tr>
      <w:tr w14:paraId="65868137">
        <w:trPr>
          <w:trHeight w:val="407" w:hRule="atLeast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D20F2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5A960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河北医科大学第一医院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F89F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C8426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项目参与单位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，对创新点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/>
                <w14:ligatures w14:val="none"/>
              </w:rPr>
              <w:t>二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、三、四做出创新性贡献</w:t>
            </w:r>
          </w:p>
        </w:tc>
      </w:tr>
      <w:tr w14:paraId="14B39D94">
        <w:trPr>
          <w:trHeight w:val="426" w:hRule="atLeast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80BE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D4621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浙江京新药业股份有限公司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8363C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551E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项目参与单位，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对创新点二做出创新性贡献</w:t>
            </w:r>
          </w:p>
        </w:tc>
      </w:tr>
      <w:tr w14:paraId="55712F70">
        <w:trPr>
          <w:trHeight w:val="426" w:hRule="atLeast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0F31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30CA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常州瑞神安医疗器械有限公司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936BC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5C2DB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项目参与单位，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对创新点三做出创新性贡献</w:t>
            </w:r>
          </w:p>
        </w:tc>
      </w:tr>
      <w:tr w14:paraId="1869741C">
        <w:trPr>
          <w:trHeight w:val="426" w:hRule="atLeast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5BA65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EA1D7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天津泰姆斯医疗科技有限公司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37C49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3EBCA">
            <w:pPr>
              <w:widowControl/>
              <w:spacing w:line="320" w:lineRule="exact"/>
              <w:jc w:val="center"/>
              <w:rPr>
                <w:rFonts w:ascii="Arial" w:hAnsi="Arial" w:eastAsia="宋体" w:cs="Arial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项目参与单位，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对创新点三做出创新性贡献</w:t>
            </w:r>
          </w:p>
        </w:tc>
      </w:tr>
      <w:tr w14:paraId="3AB12B2D">
        <w:trPr>
          <w:trHeight w:val="426" w:hRule="atLeast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79F28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20"/>
                <w:szCs w:val="20"/>
                <w:lang w:val="en-US" w:eastAsia="zh-CN"/>
                <w14:ligatures w14:val="none"/>
              </w:rPr>
              <w:t>6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408F5">
            <w:pPr>
              <w:widowControl/>
              <w:spacing w:line="320" w:lineRule="exact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="宋体" w:cs="宋体"/>
                <w:szCs w:val="21"/>
              </w:rPr>
              <w:t>北京云深科技有限公司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F6D8A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6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F9D9C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项目参与单位，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对创新点</w:t>
            </w:r>
            <w:r>
              <w:rPr>
                <w:rFonts w:hint="eastAsia" w:ascii="Arial" w:hAnsi="Arial" w:cs="Arial"/>
                <w:kern w:val="0"/>
                <w:sz w:val="18"/>
                <w:szCs w:val="18"/>
                <w:lang w:val="en-US" w:eastAsia="zh-CN"/>
                <w14:ligatures w14:val="none"/>
              </w:rPr>
              <w:t>一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做出创新性贡献</w:t>
            </w:r>
          </w:p>
        </w:tc>
      </w:tr>
      <w:tr w14:paraId="5CE3F022">
        <w:trPr>
          <w:trHeight w:val="426" w:hRule="atLeast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87340">
            <w:pPr>
              <w:widowControl/>
              <w:spacing w:line="320" w:lineRule="exact"/>
              <w:jc w:val="center"/>
              <w:rPr>
                <w:rFonts w:hint="default" w:eastAsia="宋体" w:cs="Times New Roman"/>
                <w:color w:val="000000"/>
                <w:kern w:val="0"/>
                <w:sz w:val="20"/>
                <w:szCs w:val="20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20"/>
                <w:szCs w:val="20"/>
                <w:lang w:val="en-US" w:eastAsia="zh-CN"/>
                <w14:ligatures w14:val="none"/>
              </w:rPr>
              <w:t>7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0D5BA">
            <w:pPr>
              <w:widowControl/>
              <w:spacing w:line="320" w:lineRule="exact"/>
              <w:jc w:val="center"/>
              <w:rPr>
                <w:rFonts w:hint="eastAsia" w:ascii="宋体" w:cs="宋体"/>
                <w:szCs w:val="21"/>
              </w:rPr>
            </w:pPr>
            <w:r>
              <w:rPr>
                <w:rFonts w:hint="eastAsia" w:ascii="宋体" w:cs="宋体"/>
                <w:szCs w:val="21"/>
              </w:rPr>
              <w:t>首都医科大学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8A01D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18"/>
                <w:szCs w:val="18"/>
                <w:lang w:val="en-US" w:eastAsia="zh-CN"/>
                <w14:ligatures w14:val="none"/>
              </w:rPr>
              <w:t>7</w:t>
            </w:r>
          </w:p>
        </w:tc>
        <w:tc>
          <w:tcPr>
            <w:tcW w:w="3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B985D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hint="eastAsia" w:ascii="Times New Roman" w:hAnsi="Times New Roman" w:eastAsia="宋体" w:cs="Arial"/>
                <w:color w:val="000000"/>
                <w:kern w:val="0"/>
                <w:sz w:val="18"/>
                <w:szCs w:val="18"/>
                <w14:ligatures w14:val="none"/>
              </w:rPr>
              <w:t>项目参与单位，</w:t>
            </w:r>
            <w:r>
              <w:rPr>
                <w:rFonts w:hint="eastAsia" w:ascii="Arial" w:hAnsi="Arial" w:eastAsia="宋体" w:cs="Arial"/>
                <w:kern w:val="0"/>
                <w:sz w:val="18"/>
                <w:szCs w:val="18"/>
                <w14:ligatures w14:val="none"/>
              </w:rPr>
              <w:t>对创新点三做出创新性贡献</w:t>
            </w:r>
          </w:p>
        </w:tc>
      </w:tr>
    </w:tbl>
    <w:p w14:paraId="046D73A1">
      <w:pPr>
        <w:numPr>
          <w:numId w:val="0"/>
        </w:numPr>
        <w:rPr>
          <w:rFonts w:hint="eastAsia" w:ascii="宋体" w:hAnsi="宋体" w:eastAsia="宋体" w:cs="Arial"/>
          <w:color w:val="000000" w:themeColor="text1"/>
          <w:spacing w:val="2"/>
          <w:kern w:val="0"/>
          <w:sz w:val="24"/>
          <w:szCs w:val="24"/>
          <w14:textFill>
            <w14:solidFill>
              <w14:schemeClr w14:val="tx1"/>
            </w14:solidFill>
          </w14:textFill>
          <w14:ligatures w14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FangSong">
    <w:altName w:val="方正仿宋_GBK"/>
    <w:panose1 w:val="00000000000000000000"/>
    <w:charset w:val="86"/>
    <w:family w:val="modern"/>
    <w:pitch w:val="default"/>
    <w:sig w:usb0="00000000" w:usb1="00000000" w:usb2="00000000" w:usb3="00000000" w:csb0="2000019F" w:csb1="4F010000"/>
  </w:font>
  <w:font w:name="FangSong_GB2312">
    <w:panose1 w:val="00020600040101010101"/>
    <w:charset w:val="86"/>
    <w:family w:val="modern"/>
    <w:pitch w:val="default"/>
    <w:sig w:usb0="A00002BF" w:usb1="3ACF7CFA" w:usb2="00000016" w:usb3="00000000" w:csb0="0004009F" w:csb1="DFD7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E3E916"/>
    <w:multiLevelType w:val="singleLevel"/>
    <w:tmpl w:val="F9E3E916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FF272B"/>
    <w:rsid w:val="05DDCF98"/>
    <w:rsid w:val="7FA718F5"/>
    <w:rsid w:val="9FF7D4F3"/>
    <w:rsid w:val="B77F94BF"/>
    <w:rsid w:val="BBA9EE57"/>
    <w:rsid w:val="D93F3413"/>
    <w:rsid w:val="E3EF8D9E"/>
    <w:rsid w:val="FAFA5AF1"/>
    <w:rsid w:val="FDFF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360" w:lineRule="auto"/>
      <w:ind w:firstLine="480" w:firstLineChars="200"/>
    </w:pPr>
    <w:rPr>
      <w:rFonts w:ascii="FangSong_GB2312"/>
      <w:sz w:val="24"/>
    </w:rPr>
  </w:style>
  <w:style w:type="paragraph" w:styleId="3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2026-05-06T23:35:00Z</dcterms:created>
  <dc:creator>林一聪</dc:creator>
  <cp:lastModifiedBy>林一聪</cp:lastModifiedBy>
  <dcterms:modified xsi:type="dcterms:W3CDTF">2026-05-07T00:06:54Z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17196C0FF47C3AE6B35FFB69350BF67B_41</vt:lpwstr>
  </property>
</Properties>
</file>